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complaints and quality issues between recredentialing cycles must be met: 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980"/>
        <w:gridCol w:w="5310"/>
        <w:gridCol w:w="1711"/>
      </w:tblGrid>
      <w:tr w:rsidR="001B5B4C" w:rsidRPr="00CF250B" w:rsidTr="00A46AE7">
        <w:trPr>
          <w:tblHeader/>
        </w:trPr>
        <w:tc>
          <w:tcPr>
            <w:tcW w:w="1818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980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310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5B75CB" w:rsidTr="00A46AE7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980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310" w:type="dxa"/>
          </w:tcPr>
          <w:p w:rsidR="00FA2626" w:rsidRPr="005B75CB" w:rsidRDefault="00716189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F063F" w:rsidRPr="005B75CB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:rsidR="002F4443" w:rsidRPr="005B75CB" w:rsidRDefault="00FA2626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</w:p>
          <w:p w:rsidR="00A20C6F" w:rsidRPr="00A46AE7" w:rsidRDefault="002F4443" w:rsidP="002F44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A46AE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Some Health Plans require checking 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the Office of Inspector General, List of Excluded Individuals/Entities to meet CMS </w:t>
            </w:r>
            <w:r w:rsidR="00A46AE7">
              <w:rPr>
                <w:rFonts w:ascii="Arial" w:hAnsi="Arial" w:cs="Arial"/>
                <w:color w:val="000000" w:themeColor="text1"/>
              </w:rPr>
              <w:t>recommendation</w:t>
            </w:r>
            <w:r w:rsidRPr="00A46AE7">
              <w:rPr>
                <w:rFonts w:ascii="Arial" w:hAnsi="Arial" w:cs="Arial"/>
                <w:color w:val="000000" w:themeColor="text1"/>
              </w:rPr>
              <w:t>.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A46AE7">
              <w:rPr>
                <w:rFonts w:ascii="Arial" w:hAnsi="Arial" w:cs="Arial"/>
                <w:color w:val="000000" w:themeColor="text1"/>
              </w:rPr>
              <w:t>The organization may use a vendor.</w:t>
            </w:r>
          </w:p>
          <w:p w:rsidR="00FA2626" w:rsidRPr="005B75CB" w:rsidRDefault="00FA2626" w:rsidP="00A20C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A46AE7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ons or limitations on licensure</w:t>
            </w:r>
          </w:p>
        </w:tc>
        <w:tc>
          <w:tcPr>
            <w:tcW w:w="1980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310" w:type="dxa"/>
          </w:tcPr>
          <w:p w:rsidR="00FA2626" w:rsidRPr="005B75CB" w:rsidRDefault="00716189" w:rsidP="00FA262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9" w:history="1">
              <w:r w:rsidR="00FA2626" w:rsidRPr="005B75CB">
                <w:rPr>
                  <w:rStyle w:val="Hyperlink"/>
                  <w:rFonts w:ascii="Arial" w:hAnsi="Arial" w:cs="Arial"/>
                </w:rPr>
                <w:t>Washington State Department of Health, News Releases</w:t>
              </w:r>
            </w:hyperlink>
          </w:p>
          <w:p w:rsidR="005A73CC" w:rsidRPr="005B75CB" w:rsidRDefault="005A73CC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</w:p>
          <w:p w:rsidR="00FA2626" w:rsidRPr="005B75CB" w:rsidRDefault="00FA2626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A46AE7">
        <w:tc>
          <w:tcPr>
            <w:tcW w:w="1818" w:type="dxa"/>
          </w:tcPr>
          <w:p w:rsidR="00FA2626" w:rsidRPr="005B75CB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980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310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A46AE7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 xml:space="preserve"> from identified adverse events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980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310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A46AE7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iews the Medicare Opt Out List</w:t>
            </w:r>
          </w:p>
        </w:tc>
        <w:tc>
          <w:tcPr>
            <w:tcW w:w="1980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310" w:type="dxa"/>
          </w:tcPr>
          <w:p w:rsidR="000B6BB7" w:rsidRPr="005B75CB" w:rsidRDefault="00716189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0" w:history="1">
              <w:r w:rsidR="00FA2626" w:rsidRPr="005B75CB">
                <w:rPr>
                  <w:rStyle w:val="Hyperlink"/>
                  <w:rFonts w:ascii="Arial" w:hAnsi="Arial" w:cs="Arial"/>
                </w:rPr>
                <w:t>Noridian Medicare Portal, Jurisdiction F, Part B</w:t>
              </w:r>
            </w:hyperlink>
          </w:p>
          <w:p w:rsidR="00A20C6F" w:rsidRPr="005B75CB" w:rsidRDefault="00716189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1" w:history="1">
              <w:r w:rsidR="009F063F" w:rsidRPr="005B75CB">
                <w:rPr>
                  <w:rStyle w:val="Hyperlink"/>
                  <w:rFonts w:ascii="Arial" w:hAnsi="Arial" w:cs="Arial"/>
                </w:rPr>
                <w:t>Medicare Opt Out Affidavits (data.CMS.gov website)</w:t>
              </w:r>
            </w:hyperlink>
          </w:p>
          <w:p w:rsidR="00FC641C" w:rsidRPr="00A46AE7" w:rsidRDefault="0074097E" w:rsidP="0036147F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</w:rPr>
              <w:t>Note: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A46AE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Some Health Plans require that </w:t>
            </w:r>
            <w:r w:rsidR="00A20C6F" w:rsidRPr="00A46AE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the Medical Group either review the Medicare Opt Out Affidavits list, or monitor all published Medicare Opt Out Lists.</w:t>
            </w:r>
          </w:p>
          <w:p w:rsidR="00FA2626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Pr="00FC641C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at least quarterly</w:t>
            </w:r>
          </w:p>
        </w:tc>
      </w:tr>
      <w:tr w:rsidR="001B5B4C" w:rsidRPr="005B75CB" w:rsidTr="00A46AE7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M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980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310" w:type="dxa"/>
          </w:tcPr>
          <w:p w:rsidR="00FA2626" w:rsidRPr="005B75CB" w:rsidRDefault="00716189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2" w:anchor="1" w:history="1">
              <w:r w:rsidR="00FA2626" w:rsidRPr="005B75CB">
                <w:rPr>
                  <w:rStyle w:val="Hyperlink"/>
                  <w:rFonts w:ascii="Arial" w:hAnsi="Arial" w:cs="Arial"/>
                </w:rPr>
                <w:t>System for Award Management</w:t>
              </w:r>
            </w:hyperlink>
          </w:p>
          <w:p w:rsidR="00DE6085" w:rsidRPr="005B75CB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4B3CDF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5B75CB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the SAM/LEIE.  </w:t>
            </w:r>
            <w:r w:rsidR="005B75CB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C641C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onthly</w:t>
            </w:r>
          </w:p>
          <w:p w:rsidR="00FC641C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Pr="005B75CB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 Medicaid</w:t>
            </w:r>
            <w:r w:rsidR="006273BA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>
              <w:rPr>
                <w:rFonts w:ascii="Arial" w:hAnsi="Arial" w:cs="Arial"/>
                <w:color w:val="000000" w:themeColor="text1"/>
              </w:rPr>
              <w:t>must be run by 15</w:t>
            </w:r>
            <w:r w:rsidRPr="00FC641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of the month. </w:t>
            </w:r>
          </w:p>
        </w:tc>
      </w:tr>
      <w:tr w:rsidR="005B75CB" w:rsidRPr="005B75CB" w:rsidTr="00A46AE7">
        <w:tc>
          <w:tcPr>
            <w:tcW w:w="1818" w:type="dxa"/>
          </w:tcPr>
          <w:p w:rsidR="005B75CB" w:rsidRPr="005B75CB" w:rsidRDefault="005B75CB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lastRenderedPageBreak/>
              <w:t>Collects and reviews Medicaid State Exclusions</w:t>
            </w:r>
          </w:p>
        </w:tc>
        <w:tc>
          <w:tcPr>
            <w:tcW w:w="1980" w:type="dxa"/>
          </w:tcPr>
          <w:p w:rsidR="005B75CB" w:rsidRPr="005B75CB" w:rsidRDefault="005B75CB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310" w:type="dxa"/>
          </w:tcPr>
          <w:p w:rsidR="00DD2382" w:rsidRDefault="005B75CB" w:rsidP="00DD2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B75CB">
              <w:rPr>
                <w:rFonts w:ascii="Arial" w:hAnsi="Arial" w:cs="Arial"/>
              </w:rPr>
              <w:t>or Medicaid lines of business, the Medical Group must review all published Medicaid State Exclusion Lists</w:t>
            </w:r>
            <w:r w:rsidR="0036147F">
              <w:rPr>
                <w:rFonts w:ascii="Arial" w:hAnsi="Arial" w:cs="Arial"/>
              </w:rPr>
              <w:t>. The organization may use a vendor.</w:t>
            </w:r>
          </w:p>
          <w:p w:rsidR="00DD2382" w:rsidRDefault="00DD2382" w:rsidP="00DD2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states publish a list except for CO, DE, NH, NM, OK, OR, SD, UT, VA, VT, and WI.</w:t>
            </w:r>
            <w:r w:rsidR="00F61C0A">
              <w:rPr>
                <w:rFonts w:ascii="Arial" w:hAnsi="Arial" w:cs="Arial"/>
              </w:rPr>
              <w:t xml:space="preserve"> Visit the WAMSS website here for a list of states that publish a list. </w:t>
            </w:r>
          </w:p>
          <w:p w:rsidR="005B75CB" w:rsidRPr="005B75CB" w:rsidRDefault="00DD2382" w:rsidP="00DD23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 publishes 2 lists (</w:t>
            </w:r>
            <w:hyperlink r:id="rId13" w:history="1">
              <w:r w:rsidRPr="009E5947">
                <w:rPr>
                  <w:rStyle w:val="Hyperlink"/>
                  <w:rFonts w:ascii="Arial" w:hAnsi="Arial" w:cs="Arial"/>
                </w:rPr>
                <w:t>http://www.state.nj.us/treasury/revenue/debarment/debarsearch.shtml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14" w:history="1">
              <w:r w:rsidRPr="009E5947">
                <w:rPr>
                  <w:rStyle w:val="Hyperlink"/>
                  <w:rFonts w:ascii="Arial" w:hAnsi="Arial" w:cs="Arial"/>
                </w:rPr>
                <w:t>http://nj.gov/comptroller/divisions/medicaid/disqualified/</w:t>
              </w:r>
            </w:hyperlink>
            <w:r>
              <w:rPr>
                <w:rFonts w:ascii="Arial" w:hAnsi="Arial" w:cs="Arial"/>
              </w:rPr>
              <w:t>) and both must be reviewed</w:t>
            </w:r>
            <w:r w:rsidR="00927A25">
              <w:rPr>
                <w:rFonts w:ascii="Arial" w:hAnsi="Arial" w:cs="Arial"/>
              </w:rPr>
              <w:t>.</w:t>
            </w:r>
            <w:r w:rsidR="00FC641C">
              <w:rPr>
                <w:rFonts w:ascii="Arial" w:hAnsi="Arial" w:cs="Arial"/>
              </w:rPr>
              <w:br/>
            </w:r>
          </w:p>
        </w:tc>
        <w:tc>
          <w:tcPr>
            <w:tcW w:w="1711" w:type="dxa"/>
          </w:tcPr>
          <w:p w:rsidR="005B75CB" w:rsidRPr="005B75CB" w:rsidRDefault="005B75CB" w:rsidP="00687637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</w:tc>
      </w:tr>
    </w:tbl>
    <w:p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monitoring. </w:t>
      </w:r>
      <w:r w:rsidR="005425EA" w:rsidRPr="000B6BB7">
        <w:rPr>
          <w:rFonts w:ascii="Arial" w:hAnsi="Arial" w:cs="Arial"/>
          <w:color w:val="000000" w:themeColor="text1"/>
        </w:rPr>
        <w:t xml:space="preserve">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poor quality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30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or 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F09C4" w:rsidRPr="000B6BB7" w:rsidRDefault="005E6A12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>For p</w:t>
      </w:r>
      <w:r w:rsidR="007F09C4" w:rsidRPr="000B6BB7">
        <w:rPr>
          <w:rFonts w:ascii="Arial" w:hAnsi="Arial" w:cs="Arial"/>
          <w:color w:val="000000" w:themeColor="text1"/>
        </w:rPr>
        <w:t>ractitioners who have opted out</w:t>
      </w:r>
      <w:r w:rsidRPr="000B6BB7">
        <w:rPr>
          <w:rFonts w:ascii="Arial" w:hAnsi="Arial" w:cs="Arial"/>
          <w:color w:val="000000" w:themeColor="text1"/>
        </w:rPr>
        <w:t xml:space="preserve"> of Medicare, t</w:t>
      </w:r>
      <w:r w:rsidR="007F09C4" w:rsidRPr="000B6BB7">
        <w:rPr>
          <w:rFonts w:ascii="Arial" w:hAnsi="Arial" w:cs="Arial"/>
          <w:color w:val="000000" w:themeColor="text1"/>
        </w:rPr>
        <w:t xml:space="preserve">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F09C4" w:rsidRPr="000B6BB7">
        <w:rPr>
          <w:rFonts w:ascii="Arial" w:hAnsi="Arial" w:cs="Arial"/>
          <w:color w:val="000000" w:themeColor="text1"/>
        </w:rPr>
        <w:t xml:space="preserve"> must check all state lists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>’s</w:t>
      </w:r>
      <w:r w:rsidR="007F09C4" w:rsidRPr="000B6BB7">
        <w:rPr>
          <w:rFonts w:ascii="Arial" w:hAnsi="Arial" w:cs="Arial"/>
          <w:color w:val="000000" w:themeColor="text1"/>
        </w:rPr>
        <w:t xml:space="preserve"> 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BD5E96" w:rsidRPr="000B6BB7">
        <w:rPr>
          <w:rFonts w:ascii="Arial" w:hAnsi="Arial" w:cs="Arial"/>
          <w:color w:val="000000" w:themeColor="text1"/>
        </w:rPr>
        <w:t xml:space="preserve"> must produce evidence of ongoing monitoring.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3A0056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0B6BB7" w:rsidRDefault="00D25793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:rsidR="00687637" w:rsidRDefault="0068763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564067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64067">
        <w:rPr>
          <w:rFonts w:ascii="Arial" w:hAnsi="Arial" w:cs="Arial"/>
          <w:b/>
          <w:color w:val="000000" w:themeColor="text1"/>
          <w:u w:val="single"/>
        </w:rPr>
        <w:t>DISCLAIMER</w:t>
      </w:r>
      <w:r w:rsidRPr="00564067">
        <w:rPr>
          <w:rFonts w:ascii="Arial" w:hAnsi="Arial" w:cs="Arial"/>
          <w:b/>
          <w:color w:val="000000" w:themeColor="text1"/>
        </w:rPr>
        <w:t xml:space="preserve">: 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>
        <w:rPr>
          <w:rFonts w:ascii="Arial" w:hAnsi="Arial" w:cs="Arial"/>
          <w:b/>
          <w:color w:val="000000" w:themeColor="text1"/>
        </w:rPr>
        <w:t>credentialing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 activities to your organization. Some Health Plans may delegate additional ongoing monitoring activities and/or 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564067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 </w:t>
      </w:r>
      <w:r w:rsidRPr="00564067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>
        <w:rPr>
          <w:rFonts w:ascii="Arial" w:hAnsi="Arial" w:cs="Arial"/>
          <w:b/>
          <w:color w:val="000000" w:themeColor="text1"/>
        </w:rPr>
        <w:t xml:space="preserve">with </w:t>
      </w:r>
      <w:r w:rsidRPr="00564067">
        <w:rPr>
          <w:rFonts w:ascii="Arial" w:hAnsi="Arial" w:cs="Arial"/>
          <w:b/>
          <w:color w:val="000000" w:themeColor="text1"/>
        </w:rPr>
        <w:t xml:space="preserve">each </w:t>
      </w:r>
      <w:r w:rsidR="00564067" w:rsidRPr="00564067">
        <w:rPr>
          <w:rFonts w:ascii="Arial" w:hAnsi="Arial" w:cs="Arial"/>
          <w:b/>
          <w:color w:val="000000" w:themeColor="text1"/>
        </w:rPr>
        <w:t>H</w:t>
      </w:r>
      <w:r w:rsidRPr="00564067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564067">
        <w:rPr>
          <w:rFonts w:ascii="Arial" w:hAnsi="Arial" w:cs="Arial"/>
          <w:b/>
          <w:color w:val="000000" w:themeColor="text1"/>
        </w:rPr>
        <w:t>P</w:t>
      </w:r>
      <w:r w:rsidR="00D63D70">
        <w:rPr>
          <w:rFonts w:ascii="Arial" w:hAnsi="Arial" w:cs="Arial"/>
          <w:b/>
          <w:color w:val="000000" w:themeColor="text1"/>
        </w:rPr>
        <w:t>lan that delegates to your organization.</w:t>
      </w:r>
    </w:p>
    <w:p w:rsidR="00D25793" w:rsidRPr="00CF250B" w:rsidRDefault="00D25793">
      <w:pPr>
        <w:rPr>
          <w:rFonts w:ascii="Arial" w:hAnsi="Arial" w:cs="Arial"/>
          <w:color w:val="000000" w:themeColor="text1"/>
        </w:rPr>
        <w:sectPr w:rsidR="00D25793" w:rsidRPr="00CF250B" w:rsidSect="006273BA">
          <w:footerReference w:type="default" r:id="rId15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3C2941" w:rsidRPr="00CF250B" w:rsidRDefault="003C2941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2017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:rsidTr="003C2941">
        <w:tc>
          <w:tcPr>
            <w:tcW w:w="1915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02/07/17</w:t>
            </w: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02/15/17</w:t>
            </w: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rPr>
          <w:trHeight w:val="197"/>
        </w:trPr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2017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:rsidR="00740E6D" w:rsidRPr="00CF250B" w:rsidRDefault="00740E6D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2017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Sanctions or Limitations on Licensure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075"/>
        <w:gridCol w:w="1800"/>
      </w:tblGrid>
      <w:tr w:rsidR="00740E6D" w:rsidRPr="00CF250B" w:rsidTr="00740E6D">
        <w:tc>
          <w:tcPr>
            <w:tcW w:w="1703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075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01/06/17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01/09/17</w:t>
            </w: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01/18/17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01/18/17</w:t>
            </w:r>
          </w:p>
        </w:tc>
        <w:tc>
          <w:tcPr>
            <w:tcW w:w="4075" w:type="dxa"/>
          </w:tcPr>
          <w:p w:rsidR="00740E6D" w:rsidRPr="00CF250B" w:rsidRDefault="00740E6D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01/19/17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01/19/17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01/20/17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01/23/17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01/26/17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01/26/17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01/27/17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01/27/17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01/30/17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01/31/17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01/30/17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01/31/17</w:t>
            </w:r>
          </w:p>
        </w:tc>
        <w:tc>
          <w:tcPr>
            <w:tcW w:w="4075" w:type="dxa"/>
          </w:tcPr>
          <w:p w:rsidR="006E5ACE" w:rsidRPr="00CF250B" w:rsidRDefault="006E5ACE" w:rsidP="007E1BB6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Agreed order for John Doe, MD. Forwarded to Credentialing Committee for review. 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634" w:rsidRPr="00CF250B" w:rsidRDefault="00814634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2017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:rsidTr="00814634">
        <w:tc>
          <w:tcPr>
            <w:tcW w:w="1703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02/07/17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02/15/17</w:t>
            </w:r>
          </w:p>
        </w:tc>
        <w:tc>
          <w:tcPr>
            <w:tcW w:w="4165" w:type="dxa"/>
          </w:tcPr>
          <w:p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/16/17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02/16/17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rPr>
          <w:trHeight w:val="197"/>
        </w:trPr>
        <w:tc>
          <w:tcPr>
            <w:tcW w:w="1703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03/15/17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03/15/17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 xml:space="preserve">Forwarded to Credentialing Committee for review. 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2017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6E5ACE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01/10/17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07/01/16-12/31/16</w:t>
            </w: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07/11/17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01/01/17-06/30/17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2017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585FA5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01/10/17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07/01/16-12/31/16</w:t>
            </w:r>
          </w:p>
        </w:tc>
        <w:tc>
          <w:tcPr>
            <w:tcW w:w="3600" w:type="dxa"/>
          </w:tcPr>
          <w:p w:rsidR="006E5ACE" w:rsidRPr="00CF250B" w:rsidRDefault="006E5ACE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07/11/17</w:t>
            </w: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01/01/17-06/30/17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814634" w:rsidRPr="00CF250B" w:rsidRDefault="006E5ACE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2017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Opt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Data.CMS.gov Opt Out Affidavits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770"/>
        <w:gridCol w:w="2430"/>
      </w:tblGrid>
      <w:tr w:rsidR="00CC1465" w:rsidRPr="00CF250B" w:rsidTr="00CC1465">
        <w:tc>
          <w:tcPr>
            <w:tcW w:w="2178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4770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2430" w:type="dxa"/>
            <w:shd w:val="clear" w:color="auto" w:fill="000000" w:themeFill="text1"/>
          </w:tcPr>
          <w:p w:rsidR="00CC1465" w:rsidRPr="00CF250B" w:rsidRDefault="00CC146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02/15/17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/15/17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/15/17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CC1465" w:rsidRPr="00CF250B" w:rsidTr="00CC1465">
        <w:tc>
          <w:tcPr>
            <w:tcW w:w="2178" w:type="dxa"/>
          </w:tcPr>
          <w:p w:rsidR="00CC1465" w:rsidRPr="00CF250B" w:rsidRDefault="00CC146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/15/17</w:t>
            </w:r>
          </w:p>
        </w:tc>
        <w:tc>
          <w:tcPr>
            <w:tcW w:w="4770" w:type="dxa"/>
          </w:tcPr>
          <w:p w:rsidR="00CC1465" w:rsidRPr="00CF250B" w:rsidRDefault="00CC146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430" w:type="dxa"/>
          </w:tcPr>
          <w:p w:rsidR="00CC1465" w:rsidRPr="00CF250B" w:rsidRDefault="00CC146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</w:tbl>
    <w:p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FE6FC1" w:rsidRPr="00CF250B" w:rsidRDefault="00FE6FC1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2017 Ongoing Monitoring Log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:rsidTr="00585FA5">
        <w:tc>
          <w:tcPr>
            <w:tcW w:w="1915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January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02/07/17</w:t>
            </w: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02/15/17</w:t>
            </w: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February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rPr>
          <w:trHeight w:val="197"/>
        </w:trPr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March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April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May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June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July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August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September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October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November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December 2017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25EA" w:rsidRPr="00CF250B" w:rsidRDefault="005425EA" w:rsidP="003C2941">
      <w:pPr>
        <w:rPr>
          <w:rFonts w:ascii="Arial" w:hAnsi="Arial" w:cs="Arial"/>
          <w:color w:val="000000" w:themeColor="text1"/>
        </w:rPr>
      </w:pPr>
    </w:p>
    <w:sectPr w:rsidR="005425EA" w:rsidRPr="00CF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89" w:rsidRDefault="00716189" w:rsidP="003C2941">
      <w:pPr>
        <w:spacing w:after="0" w:line="240" w:lineRule="auto"/>
      </w:pPr>
      <w:r>
        <w:separator/>
      </w:r>
    </w:p>
  </w:endnote>
  <w:endnote w:type="continuationSeparator" w:id="0">
    <w:p w:rsidR="00716189" w:rsidRDefault="00716189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36" w:rsidRPr="006273BA" w:rsidRDefault="006273BA" w:rsidP="006273BA">
    <w:pPr>
      <w:pStyle w:val="Footer"/>
      <w:rPr>
        <w:rFonts w:ascii="Arial" w:hAnsi="Arial" w:cs="Arial"/>
        <w:sz w:val="18"/>
        <w:szCs w:val="18"/>
      </w:rPr>
    </w:pPr>
    <w:r w:rsidRPr="006273BA">
      <w:rPr>
        <w:rFonts w:ascii="Arial" w:hAnsi="Arial" w:cs="Arial"/>
        <w:sz w:val="18"/>
        <w:szCs w:val="18"/>
      </w:rPr>
      <w:t xml:space="preserve">Revised </w:t>
    </w:r>
    <w:r w:rsidR="00AE1692">
      <w:rPr>
        <w:rFonts w:ascii="Arial" w:hAnsi="Arial" w:cs="Arial"/>
        <w:sz w:val="18"/>
        <w:szCs w:val="18"/>
      </w:rPr>
      <w:t>08-</w:t>
    </w:r>
    <w:r w:rsidR="005667ED">
      <w:rPr>
        <w:rFonts w:ascii="Arial" w:hAnsi="Arial" w:cs="Arial"/>
        <w:sz w:val="18"/>
        <w:szCs w:val="18"/>
      </w:rPr>
      <w:t>10</w:t>
    </w:r>
    <w:r w:rsidR="00AE1692">
      <w:rPr>
        <w:rFonts w:ascii="Arial" w:hAnsi="Arial" w:cs="Arial"/>
        <w:sz w:val="18"/>
        <w:szCs w:val="18"/>
      </w:rPr>
      <w:t>-17</w:t>
    </w:r>
    <w:r w:rsidR="00BE2C46">
      <w:rPr>
        <w:rFonts w:ascii="Arial" w:hAnsi="Arial" w:cs="Arial"/>
        <w:sz w:val="18"/>
        <w:szCs w:val="18"/>
      </w:rPr>
      <w:tab/>
    </w:r>
    <w:r w:rsidR="00BE2C46">
      <w:rPr>
        <w:rFonts w:ascii="Arial" w:hAnsi="Arial" w:cs="Arial"/>
        <w:sz w:val="18"/>
        <w:szCs w:val="18"/>
      </w:rPr>
      <w:tab/>
    </w:r>
    <w:r w:rsidRPr="006273BA">
      <w:rPr>
        <w:rFonts w:ascii="Arial" w:hAnsi="Arial" w:cs="Arial"/>
        <w:sz w:val="18"/>
        <w:szCs w:val="18"/>
      </w:rPr>
      <w:t xml:space="preserve">Page </w:t>
    </w:r>
    <w:r w:rsidRPr="006273BA">
      <w:rPr>
        <w:rFonts w:ascii="Arial" w:hAnsi="Arial" w:cs="Arial"/>
        <w:sz w:val="18"/>
        <w:szCs w:val="18"/>
      </w:rPr>
      <w:fldChar w:fldCharType="begin"/>
    </w:r>
    <w:r w:rsidRPr="006273BA">
      <w:rPr>
        <w:rFonts w:ascii="Arial" w:hAnsi="Arial" w:cs="Arial"/>
        <w:sz w:val="18"/>
        <w:szCs w:val="18"/>
      </w:rPr>
      <w:instrText xml:space="preserve"> PAGE   \* MERGEFORMAT </w:instrText>
    </w:r>
    <w:r w:rsidRPr="006273BA">
      <w:rPr>
        <w:rFonts w:ascii="Arial" w:hAnsi="Arial" w:cs="Arial"/>
        <w:sz w:val="18"/>
        <w:szCs w:val="18"/>
      </w:rPr>
      <w:fldChar w:fldCharType="separate"/>
    </w:r>
    <w:r w:rsidR="005667ED">
      <w:rPr>
        <w:rFonts w:ascii="Arial" w:hAnsi="Arial" w:cs="Arial"/>
        <w:noProof/>
        <w:sz w:val="18"/>
        <w:szCs w:val="18"/>
      </w:rPr>
      <w:t>1</w:t>
    </w:r>
    <w:r w:rsidRPr="006273B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89" w:rsidRDefault="00716189" w:rsidP="003C2941">
      <w:pPr>
        <w:spacing w:after="0" w:line="240" w:lineRule="auto"/>
      </w:pPr>
      <w:r>
        <w:separator/>
      </w:r>
    </w:p>
  </w:footnote>
  <w:footnote w:type="continuationSeparator" w:id="0">
    <w:p w:rsidR="00716189" w:rsidRDefault="00716189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35BFE"/>
    <w:multiLevelType w:val="hybridMultilevel"/>
    <w:tmpl w:val="EAB48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6"/>
    <w:rsid w:val="00021FC0"/>
    <w:rsid w:val="00046571"/>
    <w:rsid w:val="000B6BB7"/>
    <w:rsid w:val="000D3FAE"/>
    <w:rsid w:val="0019159E"/>
    <w:rsid w:val="001B2E98"/>
    <w:rsid w:val="001B5B4C"/>
    <w:rsid w:val="001F0424"/>
    <w:rsid w:val="002F4443"/>
    <w:rsid w:val="003065FE"/>
    <w:rsid w:val="00315F06"/>
    <w:rsid w:val="0036147F"/>
    <w:rsid w:val="003A0056"/>
    <w:rsid w:val="003C2941"/>
    <w:rsid w:val="003D1FC7"/>
    <w:rsid w:val="004B3CDF"/>
    <w:rsid w:val="005279F6"/>
    <w:rsid w:val="005425EA"/>
    <w:rsid w:val="005519F2"/>
    <w:rsid w:val="00564067"/>
    <w:rsid w:val="005667ED"/>
    <w:rsid w:val="005A73CC"/>
    <w:rsid w:val="005B75CB"/>
    <w:rsid w:val="005E6A12"/>
    <w:rsid w:val="005F4FFB"/>
    <w:rsid w:val="00612DA6"/>
    <w:rsid w:val="006256C1"/>
    <w:rsid w:val="006273BA"/>
    <w:rsid w:val="00687637"/>
    <w:rsid w:val="006E5ACE"/>
    <w:rsid w:val="00716189"/>
    <w:rsid w:val="0074097E"/>
    <w:rsid w:val="00740E6D"/>
    <w:rsid w:val="0075462D"/>
    <w:rsid w:val="007D1C53"/>
    <w:rsid w:val="007E1BB6"/>
    <w:rsid w:val="007F09C4"/>
    <w:rsid w:val="00814634"/>
    <w:rsid w:val="008257A6"/>
    <w:rsid w:val="00835AE0"/>
    <w:rsid w:val="008A275F"/>
    <w:rsid w:val="008C2234"/>
    <w:rsid w:val="008E0BD2"/>
    <w:rsid w:val="008F0B4E"/>
    <w:rsid w:val="009117F4"/>
    <w:rsid w:val="00927A25"/>
    <w:rsid w:val="00953617"/>
    <w:rsid w:val="009E63BF"/>
    <w:rsid w:val="009F063F"/>
    <w:rsid w:val="00A20C6F"/>
    <w:rsid w:val="00A46AE7"/>
    <w:rsid w:val="00AE0A0C"/>
    <w:rsid w:val="00AE15BF"/>
    <w:rsid w:val="00AE1692"/>
    <w:rsid w:val="00B21DA2"/>
    <w:rsid w:val="00BD5E96"/>
    <w:rsid w:val="00BE2C46"/>
    <w:rsid w:val="00C44F6E"/>
    <w:rsid w:val="00C56554"/>
    <w:rsid w:val="00CC1465"/>
    <w:rsid w:val="00CF250B"/>
    <w:rsid w:val="00D25793"/>
    <w:rsid w:val="00D44C3B"/>
    <w:rsid w:val="00D63D70"/>
    <w:rsid w:val="00DA180D"/>
    <w:rsid w:val="00DD2382"/>
    <w:rsid w:val="00DE6085"/>
    <w:rsid w:val="00E37852"/>
    <w:rsid w:val="00F25135"/>
    <w:rsid w:val="00F524AE"/>
    <w:rsid w:val="00F57D8A"/>
    <w:rsid w:val="00F61C0A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exclusions/exclusions_list.asp" TargetMode="External"/><Relationship Id="rId13" Type="http://schemas.openxmlformats.org/officeDocument/2006/relationships/hyperlink" Target="http://www.state.nj.us/treasury/revenue/debarment/debarsearch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am.gov/portal/SAM/?navigationalstate=JBPNS_rO0ABXdcACJqYXZheC5mYWNlcy5wb3J0bGV0YnJpZGdlLlNUQVRFX0lEAAAAAQApdmlldzo3NGM1ZWM1ZS1lMTRiLTRjMjQtYjI4Ny0wNDVjNTNmZTBkODkAB19fRU9GX18*&amp;portal:componentId=9615a076-c195-44d7-9bf4-ff1d3d101e6c&amp;interactionstate=JBPNS_rO0ABXc0ABBfanNmQnJpZGdlVmlld0lkAAAAAQATL2pzZi9uYXZpZ2F0aW9uLmpzcAAHX19FT0ZfXw**&amp;portal:type=ac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ata.cms.gov/dataset/Opt-Out-Affidavits/7yuw-754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d.noridianmedicare.com/web/jfb/enrollment/opt-out/opt-out-li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h.wa.gov/Newsroom/2017NewsReleases" TargetMode="External"/><Relationship Id="rId14" Type="http://schemas.openxmlformats.org/officeDocument/2006/relationships/hyperlink" Target="http://nj.gov/comptroller/divisions/medicaid/disqualif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Pittman, Michelle</cp:lastModifiedBy>
  <cp:revision>3</cp:revision>
  <cp:lastPrinted>2017-03-27T18:10:00Z</cp:lastPrinted>
  <dcterms:created xsi:type="dcterms:W3CDTF">2017-08-24T22:29:00Z</dcterms:created>
  <dcterms:modified xsi:type="dcterms:W3CDTF">2017-08-24T23:23:00Z</dcterms:modified>
</cp:coreProperties>
</file>